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E11BC" w14:textId="03B3856F" w:rsidR="00954D77" w:rsidRDefault="00954D77" w:rsidP="00954D77">
      <w:pPr>
        <w:jc w:val="center"/>
        <w:rPr>
          <w:color w:val="0070C0"/>
        </w:rPr>
      </w:pPr>
      <w:r w:rsidRPr="00954D77">
        <w:rPr>
          <w:b/>
          <w:bCs/>
          <w:color w:val="0070C0"/>
          <w:sz w:val="28"/>
          <w:szCs w:val="28"/>
        </w:rPr>
        <w:t>« Après 2 verres, c’est …Non Merci ! »</w:t>
      </w:r>
      <w:r>
        <w:rPr>
          <w:color w:val="0070C0"/>
        </w:rPr>
        <w:t> </w:t>
      </w:r>
    </w:p>
    <w:p w14:paraId="4BEB390E" w14:textId="38016F97" w:rsidR="00954D77" w:rsidRPr="00D061F2" w:rsidRDefault="00954D77" w:rsidP="0097112B">
      <w:pPr>
        <w:rPr>
          <w:b/>
          <w:bCs/>
          <w:color w:val="0070C0"/>
        </w:rPr>
      </w:pPr>
      <w:r w:rsidRPr="00D061F2">
        <w:rPr>
          <w:b/>
          <w:bCs/>
          <w:color w:val="0070C0"/>
        </w:rPr>
        <w:t>Lancement de la campagne de sensibilisation transfrontalière franco-belge SATRAQ</w:t>
      </w:r>
      <w:r w:rsidR="0097112B">
        <w:rPr>
          <w:b/>
          <w:bCs/>
          <w:color w:val="0070C0"/>
        </w:rPr>
        <w:t>.</w:t>
      </w:r>
    </w:p>
    <w:p w14:paraId="19F8AD2C" w14:textId="45EC5312" w:rsidR="00954D77" w:rsidRPr="00F5283B" w:rsidRDefault="00954D77" w:rsidP="00954D77">
      <w:pPr>
        <w:rPr>
          <w:b/>
          <w:bCs/>
        </w:rPr>
      </w:pPr>
      <w:r>
        <w:t xml:space="preserve">En France, </w:t>
      </w:r>
      <w:r w:rsidR="00F5283B">
        <w:t>le « </w:t>
      </w:r>
      <w:r w:rsidR="00F5283B" w:rsidRPr="00F5283B">
        <w:rPr>
          <w:b/>
          <w:bCs/>
        </w:rPr>
        <w:t>#LeDéfiDeJanvier</w:t>
      </w:r>
      <w:r w:rsidR="00F5283B">
        <w:rPr>
          <w:b/>
          <w:bCs/>
        </w:rPr>
        <w:t xml:space="preserve"> » </w:t>
      </w:r>
      <w:r>
        <w:t xml:space="preserve">n’est pas loin et nous sommes, en Belgique, au cœur de la </w:t>
      </w:r>
      <w:r w:rsidR="004739BF">
        <w:t>« </w:t>
      </w:r>
      <w:r w:rsidRPr="00954D77">
        <w:rPr>
          <w:b/>
          <w:bCs/>
        </w:rPr>
        <w:t xml:space="preserve">Tournée </w:t>
      </w:r>
      <w:r w:rsidR="004739BF">
        <w:rPr>
          <w:b/>
          <w:bCs/>
        </w:rPr>
        <w:t>M</w:t>
      </w:r>
      <w:r w:rsidRPr="00954D77">
        <w:rPr>
          <w:b/>
          <w:bCs/>
        </w:rPr>
        <w:t>inérale</w:t>
      </w:r>
      <w:r>
        <w:t>©</w:t>
      </w:r>
      <w:r w:rsidR="004739BF">
        <w:t> »</w:t>
      </w:r>
      <w:r>
        <w:t xml:space="preserve">. </w:t>
      </w:r>
    </w:p>
    <w:p w14:paraId="741837B7" w14:textId="3C660951" w:rsidR="00954D77" w:rsidRDefault="00954D77" w:rsidP="00954D77">
      <w:r>
        <w:t>Dans nos deux pays, janvier et février nous invitent à porter une attention particulière sur notre consommation de boissons alcoolisées. Et l</w:t>
      </w:r>
      <w:r w:rsidR="00F5283B">
        <w:t>a situation</w:t>
      </w:r>
      <w:r>
        <w:t xml:space="preserve"> s’y prête … Un million et demi de personnes participent à la </w:t>
      </w:r>
      <w:r w:rsidR="004739BF">
        <w:t>« </w:t>
      </w:r>
      <w:r w:rsidRPr="004739BF">
        <w:t xml:space="preserve">Tournée </w:t>
      </w:r>
      <w:r w:rsidR="004739BF" w:rsidRPr="004739BF">
        <w:t>M</w:t>
      </w:r>
      <w:r w:rsidRPr="004739BF">
        <w:t>inérale</w:t>
      </w:r>
      <w:r w:rsidR="004739BF">
        <w:t>© »</w:t>
      </w:r>
      <w:r>
        <w:t xml:space="preserve">. </w:t>
      </w:r>
    </w:p>
    <w:p w14:paraId="066E9980" w14:textId="7C6B249E" w:rsidR="00954D77" w:rsidRPr="00640CAC" w:rsidRDefault="00954D77" w:rsidP="00640CAC">
      <w:r>
        <w:t xml:space="preserve">Dans la continuité de </w:t>
      </w:r>
      <w:r w:rsidR="00981906">
        <w:t xml:space="preserve">ces </w:t>
      </w:r>
      <w:r>
        <w:t>actions</w:t>
      </w:r>
      <w:r w:rsidR="00981906">
        <w:t xml:space="preserve">, </w:t>
      </w:r>
      <w:r>
        <w:rPr>
          <w:b/>
          <w:bCs/>
        </w:rPr>
        <w:t>SATRAQ</w:t>
      </w:r>
      <w:r>
        <w:t xml:space="preserve"> se penche sur ces habitudes qui s’installent souvent insidieusement et qui représentent des facteurs de risque pour la santé. Sédentarité, alimentation déséquilibrée, stress mais aussi consommations de boissons alcoolisées de plus en plus importantes ou régulières… Avec la crise sanitaire, ces comportements peuvent avoir rejoint notre quotidien.</w:t>
      </w:r>
    </w:p>
    <w:p w14:paraId="5C0385E3" w14:textId="7CA21578" w:rsidR="00954D77" w:rsidRDefault="00954D77" w:rsidP="00954D77">
      <w:pPr>
        <w:pStyle w:val="Sansinterligne"/>
        <w:rPr>
          <w:b/>
          <w:bCs/>
          <w:color w:val="0070C0"/>
        </w:rPr>
      </w:pPr>
      <w:r>
        <w:rPr>
          <w:b/>
          <w:bCs/>
          <w:color w:val="0070C0"/>
        </w:rPr>
        <w:t>Focus sur nos consommations d’alcool</w:t>
      </w:r>
      <w:r w:rsidRPr="004F7675">
        <w:rPr>
          <w:b/>
          <w:bCs/>
          <w:color w:val="0070C0"/>
        </w:rPr>
        <w:t xml:space="preserve">… </w:t>
      </w:r>
    </w:p>
    <w:p w14:paraId="711E8B1C" w14:textId="77777777" w:rsidR="0097112B" w:rsidRPr="007858AE" w:rsidRDefault="0097112B" w:rsidP="00954D77">
      <w:pPr>
        <w:pStyle w:val="Sansinterligne"/>
        <w:rPr>
          <w:b/>
          <w:bCs/>
        </w:rPr>
      </w:pPr>
    </w:p>
    <w:p w14:paraId="0E342CC2" w14:textId="77777777" w:rsidR="00954D77" w:rsidRDefault="00954D77" w:rsidP="00954D77">
      <w:pPr>
        <w:pStyle w:val="Sansinterligne"/>
      </w:pPr>
      <w:r>
        <w:t xml:space="preserve">Quelques constats éclairent l’importance de se pencher sur la situation des consommations de boissons alcoolisées dans nos pays. </w:t>
      </w:r>
    </w:p>
    <w:p w14:paraId="02A5D969" w14:textId="77777777" w:rsidR="00954D77" w:rsidRDefault="00954D77" w:rsidP="00954D77">
      <w:pPr>
        <w:pStyle w:val="Sansinterligne"/>
      </w:pPr>
    </w:p>
    <w:p w14:paraId="2F9236D6" w14:textId="4CDAA6EC" w:rsidR="00954D77" w:rsidRPr="008E5554" w:rsidRDefault="00954D77" w:rsidP="00954D77">
      <w:pPr>
        <w:pStyle w:val="Sansinterligne"/>
        <w:rPr>
          <w:noProof/>
        </w:rPr>
      </w:pPr>
      <w:r>
        <w:rPr>
          <w:noProof/>
        </w:rPr>
        <w:t xml:space="preserve">Les pays européens ont le plus haut niveau de consommation d’alcool au monde par habitant et la France et la Belgique font partie des pays où la morbidité liée à l’alcool est élevée. </w:t>
      </w:r>
      <w:r w:rsidRPr="008E5554">
        <w:rPr>
          <w:noProof/>
        </w:rPr>
        <w:t>Ainsi, pour l’année 2016, si l’Europe affiche une consommation de 9</w:t>
      </w:r>
      <w:r w:rsidR="00F5283B">
        <w:rPr>
          <w:noProof/>
        </w:rPr>
        <w:t>,</w:t>
      </w:r>
      <w:r w:rsidRPr="008E5554">
        <w:rPr>
          <w:noProof/>
        </w:rPr>
        <w:t>8 litres d’alcool pur par habitant</w:t>
      </w:r>
      <w:r w:rsidR="00F5283B">
        <w:rPr>
          <w:noProof/>
        </w:rPr>
        <w:t>,</w:t>
      </w:r>
      <w:r w:rsidRPr="008E5554">
        <w:rPr>
          <w:noProof/>
        </w:rPr>
        <w:t xml:space="preserve"> en Belgique, la consommation est de 12,1 litres et en </w:t>
      </w:r>
      <w:r w:rsidR="00F5283B">
        <w:rPr>
          <w:noProof/>
        </w:rPr>
        <w:t>France</w:t>
      </w:r>
      <w:r w:rsidR="00D061F2">
        <w:rPr>
          <w:noProof/>
        </w:rPr>
        <w:t>,</w:t>
      </w:r>
      <w:r w:rsidR="00F5283B">
        <w:rPr>
          <w:noProof/>
        </w:rPr>
        <w:t xml:space="preserve"> de </w:t>
      </w:r>
      <w:r w:rsidRPr="008E5554">
        <w:rPr>
          <w:noProof/>
        </w:rPr>
        <w:t>12</w:t>
      </w:r>
      <w:r w:rsidR="00F5283B">
        <w:rPr>
          <w:noProof/>
        </w:rPr>
        <w:t>,</w:t>
      </w:r>
      <w:r w:rsidRPr="008E5554">
        <w:rPr>
          <w:noProof/>
        </w:rPr>
        <w:t>6 litres.</w:t>
      </w:r>
      <w:r w:rsidRPr="008E5554">
        <w:rPr>
          <w:noProof/>
          <w:vertAlign w:val="superscript"/>
        </w:rPr>
        <w:footnoteReference w:id="1"/>
      </w:r>
    </w:p>
    <w:p w14:paraId="174E713C" w14:textId="77777777" w:rsidR="00954D77" w:rsidRDefault="00954D77" w:rsidP="00954D77">
      <w:pPr>
        <w:pStyle w:val="Sansinterligne"/>
        <w:rPr>
          <w:noProof/>
        </w:rPr>
      </w:pPr>
    </w:p>
    <w:p w14:paraId="375ACBD6" w14:textId="456E5E32" w:rsidR="00954D77" w:rsidRPr="00AE3365" w:rsidRDefault="00954D77" w:rsidP="00954D77">
      <w:pPr>
        <w:jc w:val="both"/>
        <w:rPr>
          <w:lang w:val="fr-FR"/>
        </w:rPr>
      </w:pPr>
      <w:r w:rsidRPr="00AE3365">
        <w:rPr>
          <w:lang w:val="fr-FR"/>
        </w:rPr>
        <w:t>En 2017, en Belgique, 5% des décès sont imputables à la consommation d’alcool,</w:t>
      </w:r>
      <w:r w:rsidR="00DC06CB">
        <w:rPr>
          <w:lang w:val="fr-FR"/>
        </w:rPr>
        <w:t xml:space="preserve"> </w:t>
      </w:r>
      <w:r w:rsidRPr="00AE3365">
        <w:rPr>
          <w:lang w:val="fr-FR"/>
        </w:rPr>
        <w:t>7%</w:t>
      </w:r>
      <w:r w:rsidR="00DC06CB" w:rsidRPr="00DC06CB">
        <w:rPr>
          <w:lang w:val="fr-FR"/>
        </w:rPr>
        <w:t xml:space="preserve"> en </w:t>
      </w:r>
      <w:r w:rsidR="00DC06CB">
        <w:rPr>
          <w:lang w:val="fr-FR"/>
        </w:rPr>
        <w:t>France</w:t>
      </w:r>
      <w:r w:rsidR="00640CAC" w:rsidRPr="00640CAC">
        <w:rPr>
          <w:vertAlign w:val="superscript"/>
          <w:lang w:val="fr-FR"/>
        </w:rPr>
        <w:footnoteReference w:id="2"/>
      </w:r>
      <w:r w:rsidR="00DC06CB">
        <w:rPr>
          <w:lang w:val="fr-FR"/>
        </w:rPr>
        <w:t>.</w:t>
      </w:r>
      <w:r>
        <w:rPr>
          <w:lang w:val="fr-FR"/>
        </w:rPr>
        <w:t xml:space="preserve"> Dans le monde, elle occasionne 3 millions de mort</w:t>
      </w:r>
      <w:r w:rsidR="00F5283B">
        <w:rPr>
          <w:lang w:val="fr-FR"/>
        </w:rPr>
        <w:t>s</w:t>
      </w:r>
      <w:r>
        <w:rPr>
          <w:lang w:val="fr-FR"/>
        </w:rPr>
        <w:t xml:space="preserve"> chaque année.</w:t>
      </w:r>
    </w:p>
    <w:p w14:paraId="404057AB" w14:textId="079FE2E1" w:rsidR="00954D77" w:rsidRDefault="00954D77" w:rsidP="00954D77">
      <w:pPr>
        <w:pStyle w:val="Sansinterligne"/>
      </w:pPr>
      <w:r>
        <w:rPr>
          <w:noProof/>
        </w:rPr>
        <w:t xml:space="preserve">Mais au-delà des décès, l’alcool </w:t>
      </w:r>
      <w:r w:rsidR="00452BE0">
        <w:rPr>
          <w:noProof/>
        </w:rPr>
        <w:t>a un impact sur</w:t>
      </w:r>
      <w:r>
        <w:rPr>
          <w:noProof/>
        </w:rPr>
        <w:t xml:space="preserve"> 200 pathologies et traumatismes (</w:t>
      </w:r>
      <w:r w:rsidRPr="00B17709">
        <w:t>cancers, maladies cardiovasculaires, accidents et actes de violence, santé mentale</w:t>
      </w:r>
      <w:r>
        <w:t xml:space="preserve"> …</w:t>
      </w:r>
      <w:r w:rsidRPr="00B17709">
        <w:t>).</w:t>
      </w:r>
      <w:r>
        <w:t xml:space="preserve"> Par exemple, chez la femme</w:t>
      </w:r>
      <w:r w:rsidR="00640CAC">
        <w:t>,</w:t>
      </w:r>
      <w:r>
        <w:t xml:space="preserve"> </w:t>
      </w:r>
      <w:r w:rsidR="00DC06CB">
        <w:t>27%</w:t>
      </w:r>
      <w:r w:rsidR="00640CAC">
        <w:t xml:space="preserve"> des cas de cancer du sein sont dus à des facteurs liés au mode de vie, l’alcool étant le principal facteur de risque.</w:t>
      </w:r>
      <w:r w:rsidR="005A3CCC">
        <w:t xml:space="preserve"> </w:t>
      </w:r>
      <w:r>
        <w:t>La consommation d’alcool est un enjeu fort de santé publique</w:t>
      </w:r>
      <w:r w:rsidR="00EE29CB">
        <w:t> ;</w:t>
      </w:r>
      <w:r w:rsidR="00640CAC">
        <w:t xml:space="preserve"> elle</w:t>
      </w:r>
      <w:r>
        <w:t xml:space="preserve"> est la deuxième cause de mortalité évitable après le tabac. Dans son rapport de 2018, Sciensano </w:t>
      </w:r>
      <w:r w:rsidR="00640CAC">
        <w:t>(Belgique)</w:t>
      </w:r>
      <w:r>
        <w:t xml:space="preserve"> montre que 77% de la population des 15 ans et plus a consommé des boissons alcoolisées durant les douze derniers mois</w:t>
      </w:r>
      <w:r w:rsidR="005A3CCC">
        <w:rPr>
          <w:rStyle w:val="Appelnotedebasdep"/>
        </w:rPr>
        <w:footnoteReference w:id="3"/>
      </w:r>
      <w:r>
        <w:t xml:space="preserve">. </w:t>
      </w:r>
    </w:p>
    <w:p w14:paraId="7F7015A2" w14:textId="77777777" w:rsidR="00954D77" w:rsidRDefault="00954D77" w:rsidP="00954D77">
      <w:pPr>
        <w:pStyle w:val="Sansinterligne"/>
      </w:pPr>
    </w:p>
    <w:p w14:paraId="09FAD1E1" w14:textId="5B22CD78" w:rsidR="00954D77" w:rsidRDefault="00954D77" w:rsidP="00954D77">
      <w:pPr>
        <w:pStyle w:val="Sansinterligne"/>
      </w:pPr>
      <w:r>
        <w:t>Risques et dommages sur la santé ne nécessite</w:t>
      </w:r>
      <w:r w:rsidR="005A3CCC">
        <w:t>nt</w:t>
      </w:r>
      <w:r>
        <w:t xml:space="preserve"> pas obligatoirement un lien avec la dépendance. On parle alors de « mésusage » et pas « d’alcoolisme ». En médecine générale, près de 25% des patients en consultation sont concernés par ce mésusage et 50% des morts prématurées liées à l’alcool touchent des personnes non dépendantes.</w:t>
      </w:r>
    </w:p>
    <w:p w14:paraId="7652591C" w14:textId="77777777" w:rsidR="00954D77" w:rsidRDefault="00954D77" w:rsidP="00954D77">
      <w:pPr>
        <w:pStyle w:val="Sansinterligne"/>
      </w:pPr>
    </w:p>
    <w:p w14:paraId="6BA26ED9" w14:textId="75180DFD" w:rsidR="00954D77" w:rsidRPr="0097112B" w:rsidRDefault="00954D77" w:rsidP="00954D77">
      <w:pPr>
        <w:pStyle w:val="Sansinterligne"/>
        <w:rPr>
          <w:noProof/>
        </w:rPr>
      </w:pPr>
      <w:r>
        <w:t>Bien entendu, les risques augmentent avec le niveau de consommation et toute diminution a un impact positif sur la santé.</w:t>
      </w:r>
    </w:p>
    <w:p w14:paraId="518360CF" w14:textId="3396B744" w:rsidR="00954D77" w:rsidRDefault="00954D77" w:rsidP="00954D77">
      <w:pPr>
        <w:pStyle w:val="Sansinterligne"/>
        <w:rPr>
          <w:b/>
          <w:bCs/>
          <w:color w:val="0070C0"/>
        </w:rPr>
      </w:pPr>
      <w:r w:rsidRPr="005A3CCC">
        <w:rPr>
          <w:b/>
          <w:bCs/>
          <w:color w:val="0070C0"/>
        </w:rPr>
        <w:lastRenderedPageBreak/>
        <w:t>Réduire les risques liés aux consommations de boissons alcoolisées est une priorité… La règle de consommation du 10/2/0</w:t>
      </w:r>
      <w:r w:rsidR="0097112B">
        <w:rPr>
          <w:b/>
          <w:bCs/>
          <w:color w:val="0070C0"/>
        </w:rPr>
        <w:t>.</w:t>
      </w:r>
    </w:p>
    <w:p w14:paraId="6E0415A9" w14:textId="77777777" w:rsidR="0097112B" w:rsidRPr="005A3CCC" w:rsidRDefault="0097112B" w:rsidP="00954D77">
      <w:pPr>
        <w:pStyle w:val="Sansinterligne"/>
        <w:rPr>
          <w:b/>
          <w:bCs/>
          <w:color w:val="0070C0"/>
        </w:rPr>
      </w:pPr>
    </w:p>
    <w:p w14:paraId="1C5AE615" w14:textId="26274DE0" w:rsidR="00954D77" w:rsidRDefault="00954D77" w:rsidP="00954D77">
      <w:pPr>
        <w:pStyle w:val="Sansinterligne"/>
        <w:rPr>
          <w:b/>
          <w:bCs/>
          <w:noProof/>
        </w:rPr>
      </w:pPr>
      <w:r>
        <w:rPr>
          <w:noProof/>
        </w:rPr>
        <w:t xml:space="preserve">En Belgique et en </w:t>
      </w:r>
      <w:r w:rsidR="005A3CCC">
        <w:rPr>
          <w:noProof/>
        </w:rPr>
        <w:t>France,</w:t>
      </w:r>
      <w:r>
        <w:rPr>
          <w:noProof/>
        </w:rPr>
        <w:t xml:space="preserve"> les experts se sont mis d’accord sur des repères de consommation à moindre risque qui intègrent ceux liés aux cancer</w:t>
      </w:r>
      <w:r w:rsidR="005A3CCC">
        <w:rPr>
          <w:noProof/>
        </w:rPr>
        <w:t>s</w:t>
      </w:r>
      <w:r>
        <w:rPr>
          <w:noProof/>
        </w:rPr>
        <w:t xml:space="preserve"> et aux maladies cardio</w:t>
      </w:r>
      <w:r w:rsidR="005A3CCC">
        <w:rPr>
          <w:noProof/>
        </w:rPr>
        <w:t>-</w:t>
      </w:r>
      <w:r>
        <w:rPr>
          <w:noProof/>
        </w:rPr>
        <w:t>vasculaires</w:t>
      </w:r>
      <w:r w:rsidR="005A3CCC">
        <w:rPr>
          <w:noProof/>
        </w:rPr>
        <w:t> :</w:t>
      </w:r>
      <w:r>
        <w:rPr>
          <w:noProof/>
        </w:rPr>
        <w:t xml:space="preserve"> </w:t>
      </w:r>
      <w:r w:rsidR="005A3CCC">
        <w:rPr>
          <w:noProof/>
        </w:rPr>
        <w:t>s</w:t>
      </w:r>
      <w:r>
        <w:rPr>
          <w:noProof/>
        </w:rPr>
        <w:t xml:space="preserve">i on consomme de l’alcool, c’est maximum </w:t>
      </w:r>
      <w:r w:rsidRPr="005A3CCC">
        <w:rPr>
          <w:b/>
          <w:bCs/>
          <w:noProof/>
        </w:rPr>
        <w:t>10</w:t>
      </w:r>
      <w:r>
        <w:rPr>
          <w:noProof/>
        </w:rPr>
        <w:t xml:space="preserve"> unités d’alcool par semaine, maximum </w:t>
      </w:r>
      <w:r w:rsidRPr="005A3CCC">
        <w:rPr>
          <w:b/>
          <w:bCs/>
          <w:noProof/>
        </w:rPr>
        <w:t>2</w:t>
      </w:r>
      <w:r>
        <w:rPr>
          <w:noProof/>
        </w:rPr>
        <w:t xml:space="preserve"> unités par jour et des jours dans la semaine </w:t>
      </w:r>
      <w:r w:rsidRPr="0097112B">
        <w:rPr>
          <w:b/>
          <w:bCs/>
          <w:noProof/>
        </w:rPr>
        <w:t>sans</w:t>
      </w:r>
      <w:r>
        <w:rPr>
          <w:noProof/>
        </w:rPr>
        <w:t xml:space="preserve"> consommation </w:t>
      </w:r>
      <w:r w:rsidR="0097112B">
        <w:rPr>
          <w:noProof/>
        </w:rPr>
        <w:t>« </w:t>
      </w:r>
      <w:r w:rsidRPr="0097112B">
        <w:rPr>
          <w:b/>
          <w:bCs/>
          <w:noProof/>
        </w:rPr>
        <w:t>10/2/0</w:t>
      </w:r>
      <w:r w:rsidR="0097112B">
        <w:rPr>
          <w:b/>
          <w:bCs/>
          <w:noProof/>
        </w:rPr>
        <w:t> »</w:t>
      </w:r>
    </w:p>
    <w:p w14:paraId="11BBD40D" w14:textId="77777777" w:rsidR="0097112B" w:rsidRDefault="0097112B" w:rsidP="00954D77">
      <w:pPr>
        <w:pStyle w:val="Sansinterligne"/>
        <w:rPr>
          <w:noProof/>
        </w:rPr>
      </w:pPr>
    </w:p>
    <w:p w14:paraId="66396DB2" w14:textId="7E9DC2CE" w:rsidR="00954D77" w:rsidRDefault="00954D77" w:rsidP="00954D77">
      <w:pPr>
        <w:rPr>
          <w:noProof/>
        </w:rPr>
      </w:pPr>
      <w:r>
        <w:rPr>
          <w:noProof/>
        </w:rPr>
        <w:t xml:space="preserve">Une unité d’alcool = 10 grammes d’alcool pur = un verre standard correpondant à la boisson ingérée. Par exemple : une « pils 25cl » servie dans votre bar préféré correspond à une unité d’alcool, </w:t>
      </w:r>
      <w:r w:rsidR="0097112B">
        <w:rPr>
          <w:noProof/>
        </w:rPr>
        <w:t>c’est la même chose</w:t>
      </w:r>
      <w:r>
        <w:rPr>
          <w:noProof/>
        </w:rPr>
        <w:t xml:space="preserve"> pour un « ballon de rouge »</w:t>
      </w:r>
      <w:r w:rsidR="0097112B">
        <w:rPr>
          <w:noProof/>
        </w:rPr>
        <w:t>.</w:t>
      </w:r>
    </w:p>
    <w:p w14:paraId="35E0657C" w14:textId="07461741" w:rsidR="0097112B" w:rsidRDefault="00954D77" w:rsidP="0097112B">
      <w:pPr>
        <w:spacing w:line="240" w:lineRule="auto"/>
        <w:rPr>
          <w:b/>
          <w:bCs/>
          <w:noProof/>
          <w:color w:val="0070C0"/>
        </w:rPr>
      </w:pPr>
      <w:r w:rsidRPr="00D716CA">
        <w:rPr>
          <w:b/>
          <w:bCs/>
          <w:noProof/>
          <w:color w:val="0070C0"/>
        </w:rPr>
        <w:t>Quand notre rapport à l’alcool nous interpelle… SATRAQ lance sa campagne de sensibilisation</w:t>
      </w:r>
      <w:r w:rsidR="0097112B">
        <w:rPr>
          <w:b/>
          <w:bCs/>
          <w:noProof/>
          <w:color w:val="0070C0"/>
        </w:rPr>
        <w:t>.</w:t>
      </w:r>
    </w:p>
    <w:p w14:paraId="565ED673" w14:textId="36ED968B" w:rsidR="00954D77" w:rsidRPr="0097112B" w:rsidRDefault="00954D77" w:rsidP="0097112B">
      <w:pPr>
        <w:spacing w:line="240" w:lineRule="auto"/>
        <w:rPr>
          <w:b/>
          <w:bCs/>
          <w:noProof/>
          <w:color w:val="0070C0"/>
        </w:rPr>
      </w:pPr>
      <w:r w:rsidRPr="0061047A">
        <w:rPr>
          <w:noProof/>
        </w:rPr>
        <w:t>Dans la période sanitaire difficile que nous traversons, face à l’incertitude</w:t>
      </w:r>
      <w:r>
        <w:rPr>
          <w:noProof/>
        </w:rPr>
        <w:t xml:space="preserve">, à </w:t>
      </w:r>
      <w:r w:rsidRPr="0061047A">
        <w:rPr>
          <w:noProof/>
        </w:rPr>
        <w:t xml:space="preserve">l’accroissement des problèmes de santé mentale, </w:t>
      </w:r>
      <w:r>
        <w:rPr>
          <w:noProof/>
        </w:rPr>
        <w:t>aux</w:t>
      </w:r>
      <w:r w:rsidRPr="0061047A">
        <w:rPr>
          <w:noProof/>
        </w:rPr>
        <w:t xml:space="preserve"> tentatives de lutter contre le stress et de se rassurer, la question de la consommation d’alcool a toute son importance.</w:t>
      </w:r>
    </w:p>
    <w:p w14:paraId="0F55E8F9" w14:textId="462C417F" w:rsidR="00954D77" w:rsidRPr="0061047A" w:rsidRDefault="00954D77" w:rsidP="00A64F46">
      <w:pPr>
        <w:rPr>
          <w:noProof/>
        </w:rPr>
      </w:pPr>
      <w:r w:rsidRPr="0061047A">
        <w:rPr>
          <w:noProof/>
        </w:rPr>
        <w:t>C’est pourquoi, les partenaires du projet SATRAQ lancent</w:t>
      </w:r>
      <w:r>
        <w:rPr>
          <w:noProof/>
        </w:rPr>
        <w:t>,</w:t>
      </w:r>
      <w:r w:rsidRPr="0061047A">
        <w:rPr>
          <w:noProof/>
        </w:rPr>
        <w:t xml:space="preserve"> dès ce 28 février</w:t>
      </w:r>
      <w:r>
        <w:rPr>
          <w:noProof/>
        </w:rPr>
        <w:t>,</w:t>
      </w:r>
      <w:r w:rsidRPr="0061047A">
        <w:rPr>
          <w:noProof/>
        </w:rPr>
        <w:t xml:space="preserve"> une campagne de sensibilisation composée de spots Tv et </w:t>
      </w:r>
      <w:r>
        <w:rPr>
          <w:noProof/>
        </w:rPr>
        <w:t>r</w:t>
      </w:r>
      <w:r w:rsidRPr="0061047A">
        <w:rPr>
          <w:noProof/>
        </w:rPr>
        <w:t>adio, d’affichages, d’expositions, d’animations en entreprises, d’actions de terrain</w:t>
      </w:r>
      <w:r>
        <w:rPr>
          <w:noProof/>
        </w:rPr>
        <w:t>.</w:t>
      </w:r>
      <w:r w:rsidRPr="0061047A">
        <w:rPr>
          <w:noProof/>
        </w:rPr>
        <w:t xml:space="preserve"> </w:t>
      </w:r>
      <w:r w:rsidR="00A64F46">
        <w:rPr>
          <w:noProof/>
        </w:rPr>
        <w:t>Le</w:t>
      </w:r>
      <w:r w:rsidRPr="0061047A">
        <w:rPr>
          <w:noProof/>
        </w:rPr>
        <w:t xml:space="preserve"> but</w:t>
      </w:r>
      <w:r w:rsidR="00A64F46">
        <w:rPr>
          <w:noProof/>
        </w:rPr>
        <w:t xml:space="preserve"> de cette campagne</w:t>
      </w:r>
      <w:r w:rsidRPr="0061047A">
        <w:rPr>
          <w:noProof/>
        </w:rPr>
        <w:t xml:space="preserve"> est d’i</w:t>
      </w:r>
      <w:r>
        <w:rPr>
          <w:noProof/>
        </w:rPr>
        <w:t>nviter</w:t>
      </w:r>
      <w:r w:rsidRPr="0061047A">
        <w:rPr>
          <w:noProof/>
        </w:rPr>
        <w:t xml:space="preserve"> les personnes à s’interroger sur</w:t>
      </w:r>
      <w:r>
        <w:rPr>
          <w:noProof/>
        </w:rPr>
        <w:t xml:space="preserve"> leurs habitudes de vie et de </w:t>
      </w:r>
      <w:r w:rsidRPr="003953AC">
        <w:rPr>
          <w:noProof/>
        </w:rPr>
        <w:t>consommation</w:t>
      </w:r>
      <w:r w:rsidR="00A64F46">
        <w:rPr>
          <w:noProof/>
        </w:rPr>
        <w:t>,</w:t>
      </w:r>
      <w:r w:rsidRPr="0061047A">
        <w:rPr>
          <w:noProof/>
        </w:rPr>
        <w:t xml:space="preserve"> pour </w:t>
      </w:r>
      <w:r w:rsidR="00396FCD">
        <w:rPr>
          <w:noProof/>
        </w:rPr>
        <w:t>être en</w:t>
      </w:r>
      <w:r w:rsidRPr="0061047A">
        <w:rPr>
          <w:noProof/>
        </w:rPr>
        <w:t xml:space="preserve"> meilleur</w:t>
      </w:r>
      <w:r w:rsidR="00396FCD">
        <w:rPr>
          <w:noProof/>
        </w:rPr>
        <w:t>e</w:t>
      </w:r>
      <w:r w:rsidRPr="0061047A">
        <w:rPr>
          <w:noProof/>
        </w:rPr>
        <w:t xml:space="preserve"> santé</w:t>
      </w:r>
      <w:r w:rsidR="00396FCD">
        <w:rPr>
          <w:noProof/>
        </w:rPr>
        <w:t>,</w:t>
      </w:r>
      <w:r w:rsidRPr="003953AC">
        <w:rPr>
          <w:noProof/>
        </w:rPr>
        <w:t xml:space="preserve"> </w:t>
      </w:r>
      <w:r w:rsidR="00396FCD">
        <w:rPr>
          <w:noProof/>
        </w:rPr>
        <w:t xml:space="preserve">avec </w:t>
      </w:r>
      <w:r w:rsidRPr="003953AC">
        <w:rPr>
          <w:noProof/>
        </w:rPr>
        <w:t>un focus sur leur rapport à l’alcool.</w:t>
      </w:r>
    </w:p>
    <w:p w14:paraId="7AB93CC4" w14:textId="1947FD8E" w:rsidR="00954D77" w:rsidRDefault="00954D77" w:rsidP="00A64F46">
      <w:pPr>
        <w:rPr>
          <w:noProof/>
        </w:rPr>
      </w:pPr>
      <w:r w:rsidRPr="00EE29CB">
        <w:rPr>
          <w:b/>
          <w:bCs/>
          <w:noProof/>
        </w:rPr>
        <w:t>SATRAQ</w:t>
      </w:r>
      <w:r w:rsidRPr="00B173FC">
        <w:rPr>
          <w:noProof/>
        </w:rPr>
        <w:t xml:space="preserve"> </w:t>
      </w:r>
      <w:r w:rsidRPr="00B173FC">
        <w:rPr>
          <w:i/>
          <w:iCs/>
          <w:noProof/>
        </w:rPr>
        <w:t xml:space="preserve">« Sensibilisation et Action Transfrontalière pour une Réduction de la consommation de l'Alcool au Quotidien » </w:t>
      </w:r>
      <w:r w:rsidRPr="00B173FC">
        <w:rPr>
          <w:noProof/>
        </w:rPr>
        <w:t xml:space="preserve">est un projet transfrontalier franco-belge, développé de 2020 à 2022 dans le cadre d’INTERREG V. </w:t>
      </w:r>
      <w:r w:rsidRPr="00EE29CB">
        <w:rPr>
          <w:b/>
          <w:bCs/>
          <w:noProof/>
        </w:rPr>
        <w:t>SATRAQ</w:t>
      </w:r>
      <w:r w:rsidRPr="00B173FC">
        <w:rPr>
          <w:noProof/>
        </w:rPr>
        <w:t xml:space="preserve"> est une mise en commun transfrontalière des expertises et des ressources. </w:t>
      </w:r>
      <w:r w:rsidRPr="00CC799F">
        <w:rPr>
          <w:noProof/>
        </w:rPr>
        <w:t xml:space="preserve">Le projet concerne </w:t>
      </w:r>
      <w:r w:rsidRPr="00CC799F">
        <w:rPr>
          <w:b/>
          <w:bCs/>
          <w:noProof/>
        </w:rPr>
        <w:t xml:space="preserve">en </w:t>
      </w:r>
      <w:r w:rsidR="00EE29CB">
        <w:rPr>
          <w:b/>
          <w:bCs/>
          <w:noProof/>
        </w:rPr>
        <w:t>Belgique,</w:t>
      </w:r>
      <w:r w:rsidRPr="00CC799F">
        <w:rPr>
          <w:noProof/>
        </w:rPr>
        <w:t xml:space="preserve"> les provinces du Hainaut, de Namur et du Luxembourg et </w:t>
      </w:r>
      <w:r w:rsidRPr="00CC799F">
        <w:rPr>
          <w:b/>
          <w:bCs/>
          <w:noProof/>
        </w:rPr>
        <w:t xml:space="preserve">en </w:t>
      </w:r>
      <w:r w:rsidR="00EE29CB">
        <w:rPr>
          <w:b/>
          <w:bCs/>
          <w:noProof/>
        </w:rPr>
        <w:t>France,</w:t>
      </w:r>
      <w:r w:rsidRPr="00CC799F">
        <w:rPr>
          <w:noProof/>
        </w:rPr>
        <w:t xml:space="preserve"> tout le département des Ardennes, Reims </w:t>
      </w:r>
      <w:r>
        <w:rPr>
          <w:noProof/>
        </w:rPr>
        <w:t xml:space="preserve">dans </w:t>
      </w:r>
      <w:r w:rsidRPr="00CC799F">
        <w:rPr>
          <w:noProof/>
        </w:rPr>
        <w:t>le département de la Marne, Avesnes-sur</w:t>
      </w:r>
      <w:r>
        <w:rPr>
          <w:noProof/>
        </w:rPr>
        <w:t>-</w:t>
      </w:r>
      <w:r w:rsidRPr="00CC799F">
        <w:rPr>
          <w:noProof/>
        </w:rPr>
        <w:t xml:space="preserve"> Helpe </w:t>
      </w:r>
      <w:r>
        <w:rPr>
          <w:noProof/>
        </w:rPr>
        <w:t xml:space="preserve">dans </w:t>
      </w:r>
      <w:r w:rsidRPr="00CC799F">
        <w:rPr>
          <w:noProof/>
        </w:rPr>
        <w:t xml:space="preserve">le département du Nord et Vervins </w:t>
      </w:r>
      <w:r>
        <w:rPr>
          <w:noProof/>
        </w:rPr>
        <w:t xml:space="preserve">dans </w:t>
      </w:r>
      <w:r w:rsidRPr="00CC799F">
        <w:rPr>
          <w:noProof/>
        </w:rPr>
        <w:t xml:space="preserve">le département de l’Aisne. </w:t>
      </w:r>
    </w:p>
    <w:p w14:paraId="216028AC" w14:textId="05500A98" w:rsidR="00954D77" w:rsidRPr="00396FCD" w:rsidRDefault="00954D77" w:rsidP="00A64F46">
      <w:pPr>
        <w:rPr>
          <w:noProof/>
        </w:rPr>
      </w:pPr>
      <w:r>
        <w:rPr>
          <w:noProof/>
        </w:rPr>
        <w:t>Le projet développe des actions de communication et de sensibilisation vers le tout public</w:t>
      </w:r>
      <w:r w:rsidR="00396FCD">
        <w:rPr>
          <w:noProof/>
        </w:rPr>
        <w:t xml:space="preserve"> et</w:t>
      </w:r>
      <w:r>
        <w:rPr>
          <w:noProof/>
        </w:rPr>
        <w:t xml:space="preserve"> vers les travailleurs en entreprises</w:t>
      </w:r>
      <w:r w:rsidR="00396FCD">
        <w:rPr>
          <w:noProof/>
        </w:rPr>
        <w:t>.</w:t>
      </w:r>
      <w:r>
        <w:rPr>
          <w:noProof/>
        </w:rPr>
        <w:t xml:space="preserve"> </w:t>
      </w:r>
      <w:r w:rsidR="002D0DB3">
        <w:rPr>
          <w:noProof/>
        </w:rPr>
        <w:t>D</w:t>
      </w:r>
      <w:r w:rsidRPr="00B173FC">
        <w:rPr>
          <w:noProof/>
        </w:rPr>
        <w:t>es formations multidisciplinaires au Repérage Précoce et Intervention Brève (RPIB)</w:t>
      </w:r>
      <w:r>
        <w:rPr>
          <w:noProof/>
        </w:rPr>
        <w:t xml:space="preserve"> </w:t>
      </w:r>
      <w:r w:rsidR="00396FCD">
        <w:rPr>
          <w:noProof/>
        </w:rPr>
        <w:t xml:space="preserve"> en alcoologie sont</w:t>
      </w:r>
      <w:r w:rsidR="002D0DB3">
        <w:rPr>
          <w:noProof/>
        </w:rPr>
        <w:t xml:space="preserve"> également</w:t>
      </w:r>
      <w:r w:rsidR="00396FCD">
        <w:rPr>
          <w:noProof/>
        </w:rPr>
        <w:t xml:space="preserve"> </w:t>
      </w:r>
      <w:r>
        <w:rPr>
          <w:noProof/>
        </w:rPr>
        <w:t>proposées aux</w:t>
      </w:r>
      <w:r w:rsidRPr="00B173FC">
        <w:rPr>
          <w:noProof/>
        </w:rPr>
        <w:t xml:space="preserve"> professionnels de </w:t>
      </w:r>
      <w:r w:rsidR="00396FCD">
        <w:rPr>
          <w:noProof/>
        </w:rPr>
        <w:t xml:space="preserve">la </w:t>
      </w:r>
      <w:r w:rsidRPr="00B173FC">
        <w:rPr>
          <w:noProof/>
        </w:rPr>
        <w:t>santé et du social (</w:t>
      </w:r>
      <w:r>
        <w:rPr>
          <w:noProof/>
        </w:rPr>
        <w:t>m</w:t>
      </w:r>
      <w:r w:rsidRPr="00B173FC">
        <w:rPr>
          <w:noProof/>
        </w:rPr>
        <w:t>édecin</w:t>
      </w:r>
      <w:r w:rsidR="00396FCD">
        <w:rPr>
          <w:noProof/>
        </w:rPr>
        <w:t>s</w:t>
      </w:r>
      <w:r>
        <w:rPr>
          <w:noProof/>
        </w:rPr>
        <w:t>,</w:t>
      </w:r>
      <w:r w:rsidRPr="00B173FC">
        <w:rPr>
          <w:noProof/>
        </w:rPr>
        <w:t xml:space="preserve"> infirmier</w:t>
      </w:r>
      <w:r w:rsidR="00396FCD">
        <w:rPr>
          <w:noProof/>
        </w:rPr>
        <w:t>s</w:t>
      </w:r>
      <w:r w:rsidRPr="00B173FC">
        <w:rPr>
          <w:noProof/>
        </w:rPr>
        <w:t>, éducateurs, pharmacien</w:t>
      </w:r>
      <w:r w:rsidR="00396FCD">
        <w:rPr>
          <w:noProof/>
        </w:rPr>
        <w:t>s</w:t>
      </w:r>
      <w:r w:rsidRPr="00B173FC">
        <w:rPr>
          <w:noProof/>
        </w:rPr>
        <w:t>,</w:t>
      </w:r>
      <w:r w:rsidR="00396FCD">
        <w:rPr>
          <w:noProof/>
        </w:rPr>
        <w:t xml:space="preserve"> assistants sociaux..</w:t>
      </w:r>
      <w:r>
        <w:rPr>
          <w:noProof/>
        </w:rPr>
        <w:t>.</w:t>
      </w:r>
      <w:r w:rsidRPr="00B173FC">
        <w:rPr>
          <w:noProof/>
        </w:rPr>
        <w:t>)</w:t>
      </w:r>
      <w:r>
        <w:rPr>
          <w:noProof/>
        </w:rPr>
        <w:t xml:space="preserve">. </w:t>
      </w:r>
    </w:p>
    <w:p w14:paraId="01051645" w14:textId="1354CEA9" w:rsidR="00954D77" w:rsidRPr="00C64D3F" w:rsidRDefault="00954D77" w:rsidP="00A64F46">
      <w:pPr>
        <w:rPr>
          <w:b/>
          <w:bCs/>
          <w:i/>
          <w:iCs/>
          <w:noProof/>
          <w:sz w:val="20"/>
          <w:szCs w:val="20"/>
        </w:rPr>
      </w:pPr>
      <w:r w:rsidRPr="00C64D3F">
        <w:rPr>
          <w:i/>
          <w:iCs/>
          <w:noProof/>
          <w:sz w:val="20"/>
          <w:szCs w:val="20"/>
        </w:rPr>
        <w:t>Ce projet est porté pour la Belgique, par le Centre d’Éducation du Patient asbl</w:t>
      </w:r>
      <w:r w:rsidR="00803B90" w:rsidRPr="00C64D3F">
        <w:rPr>
          <w:i/>
          <w:iCs/>
          <w:noProof/>
          <w:sz w:val="20"/>
          <w:szCs w:val="20"/>
        </w:rPr>
        <w:t xml:space="preserve"> (CEP)</w:t>
      </w:r>
      <w:r w:rsidRPr="00C64D3F">
        <w:rPr>
          <w:i/>
          <w:iCs/>
          <w:noProof/>
          <w:sz w:val="20"/>
          <w:szCs w:val="20"/>
        </w:rPr>
        <w:t xml:space="preserve"> et l</w:t>
      </w:r>
      <w:r w:rsidR="00EE29CB">
        <w:rPr>
          <w:i/>
          <w:iCs/>
          <w:noProof/>
          <w:sz w:val="20"/>
          <w:szCs w:val="20"/>
        </w:rPr>
        <w:t>a Mutualité Chrétienne</w:t>
      </w:r>
      <w:r w:rsidR="00803B90" w:rsidRPr="00C64D3F">
        <w:rPr>
          <w:i/>
          <w:iCs/>
          <w:noProof/>
          <w:sz w:val="20"/>
          <w:szCs w:val="20"/>
        </w:rPr>
        <w:t>.</w:t>
      </w:r>
      <w:r w:rsidRPr="00C64D3F">
        <w:rPr>
          <w:i/>
          <w:iCs/>
          <w:noProof/>
          <w:sz w:val="20"/>
          <w:szCs w:val="20"/>
        </w:rPr>
        <w:t xml:space="preserve"> </w:t>
      </w:r>
      <w:r w:rsidR="00803B90" w:rsidRPr="00C64D3F">
        <w:rPr>
          <w:i/>
          <w:iCs/>
          <w:noProof/>
          <w:sz w:val="20"/>
          <w:szCs w:val="20"/>
        </w:rPr>
        <w:t>P</w:t>
      </w:r>
      <w:r w:rsidRPr="00C64D3F">
        <w:rPr>
          <w:i/>
          <w:iCs/>
          <w:noProof/>
          <w:sz w:val="20"/>
          <w:szCs w:val="20"/>
        </w:rPr>
        <w:t xml:space="preserve">our la France, par la Caisse Primaire d’Assurance Maladie des Ardennes </w:t>
      </w:r>
      <w:r w:rsidR="00803B90" w:rsidRPr="00C64D3F">
        <w:rPr>
          <w:i/>
          <w:iCs/>
          <w:noProof/>
          <w:sz w:val="20"/>
          <w:szCs w:val="20"/>
        </w:rPr>
        <w:t xml:space="preserve">(CPAM) </w:t>
      </w:r>
      <w:r w:rsidRPr="00C64D3F">
        <w:rPr>
          <w:i/>
          <w:iCs/>
          <w:noProof/>
          <w:sz w:val="20"/>
          <w:szCs w:val="20"/>
        </w:rPr>
        <w:t>et par</w:t>
      </w:r>
      <w:r w:rsidR="00803B90" w:rsidRPr="00C64D3F">
        <w:rPr>
          <w:i/>
          <w:iCs/>
          <w:noProof/>
          <w:sz w:val="20"/>
          <w:szCs w:val="20"/>
        </w:rPr>
        <w:t xml:space="preserve"> Addiction Champagne-Ardenne</w:t>
      </w:r>
      <w:r w:rsidRPr="00C64D3F">
        <w:rPr>
          <w:i/>
          <w:iCs/>
          <w:noProof/>
          <w:sz w:val="20"/>
          <w:szCs w:val="20"/>
        </w:rPr>
        <w:t xml:space="preserve"> </w:t>
      </w:r>
      <w:r w:rsidR="00803B90" w:rsidRPr="00C64D3F">
        <w:rPr>
          <w:i/>
          <w:iCs/>
          <w:noProof/>
          <w:sz w:val="20"/>
          <w:szCs w:val="20"/>
        </w:rPr>
        <w:t>(</w:t>
      </w:r>
      <w:r w:rsidRPr="00C64D3F">
        <w:rPr>
          <w:i/>
          <w:iCs/>
          <w:noProof/>
          <w:sz w:val="20"/>
          <w:szCs w:val="20"/>
        </w:rPr>
        <w:t>ADDICA</w:t>
      </w:r>
      <w:r w:rsidR="00803B90" w:rsidRPr="00C64D3F">
        <w:rPr>
          <w:i/>
          <w:iCs/>
          <w:noProof/>
          <w:sz w:val="20"/>
          <w:szCs w:val="20"/>
        </w:rPr>
        <w:t>)</w:t>
      </w:r>
      <w:r w:rsidRPr="00C64D3F">
        <w:rPr>
          <w:i/>
          <w:iCs/>
          <w:noProof/>
          <w:sz w:val="20"/>
          <w:szCs w:val="20"/>
        </w:rPr>
        <w:t xml:space="preserve">. Sont partenaires associés du projet, </w:t>
      </w:r>
      <w:r w:rsidR="00803B90" w:rsidRPr="00C64D3F">
        <w:rPr>
          <w:i/>
          <w:iCs/>
          <w:noProof/>
          <w:sz w:val="20"/>
          <w:szCs w:val="20"/>
        </w:rPr>
        <w:t>l’Agence pour une Vie de Qualité (</w:t>
      </w:r>
      <w:r w:rsidRPr="00C64D3F">
        <w:rPr>
          <w:i/>
          <w:iCs/>
          <w:noProof/>
          <w:sz w:val="20"/>
          <w:szCs w:val="20"/>
        </w:rPr>
        <w:t>AV</w:t>
      </w:r>
      <w:r w:rsidR="00803B90" w:rsidRPr="00C64D3F">
        <w:rPr>
          <w:i/>
          <w:iCs/>
          <w:noProof/>
          <w:sz w:val="20"/>
          <w:szCs w:val="20"/>
        </w:rPr>
        <w:t>i</w:t>
      </w:r>
      <w:r w:rsidRPr="00C64D3F">
        <w:rPr>
          <w:i/>
          <w:iCs/>
          <w:noProof/>
          <w:sz w:val="20"/>
          <w:szCs w:val="20"/>
        </w:rPr>
        <w:t>Q</w:t>
      </w:r>
      <w:r w:rsidR="00803B90" w:rsidRPr="00C64D3F">
        <w:rPr>
          <w:i/>
          <w:iCs/>
          <w:noProof/>
          <w:sz w:val="20"/>
          <w:szCs w:val="20"/>
        </w:rPr>
        <w:t xml:space="preserve">) </w:t>
      </w:r>
      <w:r w:rsidRPr="00C64D3F">
        <w:rPr>
          <w:i/>
          <w:iCs/>
          <w:noProof/>
          <w:sz w:val="20"/>
          <w:szCs w:val="20"/>
        </w:rPr>
        <w:t>(B), l’Hôpital psychiatrique de Bertrix (B) et l’</w:t>
      </w:r>
      <w:r w:rsidR="00803B90" w:rsidRPr="00C64D3F">
        <w:rPr>
          <w:i/>
          <w:iCs/>
          <w:noProof/>
          <w:sz w:val="20"/>
          <w:szCs w:val="20"/>
        </w:rPr>
        <w:t xml:space="preserve">Agence Régionale de Santé </w:t>
      </w:r>
      <w:r w:rsidRPr="00C64D3F">
        <w:rPr>
          <w:i/>
          <w:iCs/>
          <w:noProof/>
          <w:sz w:val="20"/>
          <w:szCs w:val="20"/>
        </w:rPr>
        <w:t>Grand-Est</w:t>
      </w:r>
      <w:r w:rsidR="00C64D3F">
        <w:rPr>
          <w:i/>
          <w:iCs/>
          <w:noProof/>
          <w:sz w:val="20"/>
          <w:szCs w:val="20"/>
        </w:rPr>
        <w:t xml:space="preserve"> (ARS)</w:t>
      </w:r>
      <w:r w:rsidRPr="00C64D3F">
        <w:rPr>
          <w:i/>
          <w:iCs/>
          <w:noProof/>
          <w:sz w:val="20"/>
          <w:szCs w:val="20"/>
        </w:rPr>
        <w:t xml:space="preserve"> (F).</w:t>
      </w:r>
    </w:p>
    <w:p w14:paraId="3B3408FE" w14:textId="77777777" w:rsidR="00954D77" w:rsidRPr="00D544DD" w:rsidRDefault="00954D77" w:rsidP="00954D77">
      <w:pPr>
        <w:spacing w:after="0"/>
        <w:jc w:val="both"/>
        <w:rPr>
          <w:b/>
          <w:bCs/>
          <w:noProof/>
          <w:color w:val="0070C0"/>
        </w:rPr>
      </w:pPr>
      <w:r w:rsidRPr="00D544DD">
        <w:rPr>
          <w:b/>
          <w:bCs/>
          <w:noProof/>
          <w:color w:val="0070C0"/>
        </w:rPr>
        <w:t>Parce que notre santé est précieuse…</w:t>
      </w:r>
    </w:p>
    <w:p w14:paraId="0F94484A" w14:textId="4A74B6CB" w:rsidR="00EE29CB" w:rsidRPr="008A4983" w:rsidRDefault="00954D77" w:rsidP="00EE29CB">
      <w:pPr>
        <w:spacing w:after="0"/>
        <w:jc w:val="both"/>
        <w:rPr>
          <w:noProof/>
        </w:rPr>
      </w:pPr>
      <w:r w:rsidRPr="00D544DD">
        <w:rPr>
          <w:b/>
          <w:bCs/>
          <w:noProof/>
          <w:color w:val="0070C0"/>
        </w:rPr>
        <w:t>… SATRAQ questionne notre quotidien</w:t>
      </w:r>
      <w:r w:rsidR="00C64D3F">
        <w:rPr>
          <w:b/>
          <w:bCs/>
          <w:noProof/>
          <w:color w:val="0070C0"/>
        </w:rPr>
        <w:t>.</w:t>
      </w:r>
      <w:r w:rsidR="00EE29CB">
        <w:rPr>
          <w:b/>
          <w:bCs/>
          <w:noProof/>
          <w:color w:val="0070C0"/>
        </w:rPr>
        <w:tab/>
      </w:r>
      <w:r w:rsidR="00EE29CB">
        <w:rPr>
          <w:b/>
          <w:bCs/>
          <w:noProof/>
          <w:color w:val="0070C0"/>
        </w:rPr>
        <w:tab/>
      </w:r>
      <w:r w:rsidR="008A4983">
        <w:rPr>
          <w:noProof/>
        </w:rPr>
        <w:t>Avec la participation de :</w:t>
      </w:r>
    </w:p>
    <w:tbl>
      <w:tblPr>
        <w:tblStyle w:val="Grilledutableau"/>
        <w:tblW w:w="0" w:type="auto"/>
        <w:jc w:val="righ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35"/>
        <w:gridCol w:w="1435"/>
        <w:gridCol w:w="1435"/>
      </w:tblGrid>
      <w:tr w:rsidR="00EE29CB" w:rsidRPr="00EE29CB" w14:paraId="0E4DC6D1" w14:textId="77777777" w:rsidTr="00EE29CB">
        <w:trPr>
          <w:jc w:val="right"/>
        </w:trPr>
        <w:tc>
          <w:tcPr>
            <w:tcW w:w="1435" w:type="dxa"/>
          </w:tcPr>
          <w:p w14:paraId="0A49CD18" w14:textId="77777777" w:rsidR="00EE29CB" w:rsidRPr="00EE29CB" w:rsidRDefault="00EE29CB" w:rsidP="00EE29CB">
            <w:pPr>
              <w:spacing w:line="259" w:lineRule="auto"/>
              <w:jc w:val="both"/>
              <w:rPr>
                <w:b/>
                <w:bCs/>
                <w:noProof/>
                <w:color w:val="0070C0"/>
              </w:rPr>
            </w:pPr>
            <w:r w:rsidRPr="00EE29CB">
              <w:rPr>
                <w:b/>
                <w:bCs/>
                <w:noProof/>
                <w:color w:val="0070C0"/>
              </w:rPr>
              <w:drawing>
                <wp:inline distT="0" distB="0" distL="0" distR="0" wp14:anchorId="58D0ECE2" wp14:editId="621C7357">
                  <wp:extent cx="572135" cy="5721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135" cy="572135"/>
                          </a:xfrm>
                          <a:prstGeom prst="rect">
                            <a:avLst/>
                          </a:prstGeom>
                          <a:noFill/>
                          <a:ln>
                            <a:noFill/>
                          </a:ln>
                        </pic:spPr>
                      </pic:pic>
                    </a:graphicData>
                  </a:graphic>
                </wp:inline>
              </w:drawing>
            </w:r>
          </w:p>
        </w:tc>
        <w:tc>
          <w:tcPr>
            <w:tcW w:w="1435" w:type="dxa"/>
          </w:tcPr>
          <w:p w14:paraId="4C4DCB90" w14:textId="77777777" w:rsidR="00EE29CB" w:rsidRPr="00EE29CB" w:rsidRDefault="00EE29CB" w:rsidP="00EE29CB">
            <w:pPr>
              <w:spacing w:line="259" w:lineRule="auto"/>
              <w:jc w:val="both"/>
              <w:rPr>
                <w:b/>
                <w:bCs/>
                <w:noProof/>
                <w:color w:val="0070C0"/>
              </w:rPr>
            </w:pPr>
            <w:r w:rsidRPr="00EE29CB">
              <w:rPr>
                <w:b/>
                <w:bCs/>
                <w:noProof/>
                <w:color w:val="0070C0"/>
              </w:rPr>
              <w:drawing>
                <wp:inline distT="0" distB="0" distL="0" distR="0" wp14:anchorId="7881B741" wp14:editId="236032F9">
                  <wp:extent cx="688975" cy="6889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pic:spPr>
                      </pic:pic>
                    </a:graphicData>
                  </a:graphic>
                </wp:inline>
              </w:drawing>
            </w:r>
          </w:p>
        </w:tc>
        <w:tc>
          <w:tcPr>
            <w:tcW w:w="1435" w:type="dxa"/>
          </w:tcPr>
          <w:p w14:paraId="5F8735D7" w14:textId="77777777" w:rsidR="00EE29CB" w:rsidRPr="00EE29CB" w:rsidRDefault="00EE29CB" w:rsidP="00EE29CB">
            <w:pPr>
              <w:spacing w:line="259" w:lineRule="auto"/>
              <w:jc w:val="both"/>
              <w:rPr>
                <w:b/>
                <w:bCs/>
                <w:noProof/>
                <w:color w:val="0070C0"/>
              </w:rPr>
            </w:pPr>
          </w:p>
          <w:p w14:paraId="612973D6" w14:textId="77777777" w:rsidR="00EE29CB" w:rsidRPr="00EE29CB" w:rsidRDefault="00EE29CB" w:rsidP="00EE29CB">
            <w:pPr>
              <w:spacing w:line="259" w:lineRule="auto"/>
              <w:jc w:val="both"/>
              <w:rPr>
                <w:b/>
                <w:bCs/>
                <w:noProof/>
                <w:color w:val="0070C0"/>
              </w:rPr>
            </w:pPr>
            <w:r w:rsidRPr="00EE29CB">
              <w:rPr>
                <w:b/>
                <w:bCs/>
                <w:noProof/>
                <w:color w:val="0070C0"/>
              </w:rPr>
              <w:drawing>
                <wp:inline distT="0" distB="0" distL="0" distR="0" wp14:anchorId="3C9045C3" wp14:editId="05D11260">
                  <wp:extent cx="481330" cy="23749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330" cy="237490"/>
                          </a:xfrm>
                          <a:prstGeom prst="rect">
                            <a:avLst/>
                          </a:prstGeom>
                          <a:noFill/>
                        </pic:spPr>
                      </pic:pic>
                    </a:graphicData>
                  </a:graphic>
                </wp:inline>
              </w:drawing>
            </w:r>
          </w:p>
        </w:tc>
      </w:tr>
    </w:tbl>
    <w:p w14:paraId="48F0ABBF" w14:textId="79D6F824" w:rsidR="00954D77" w:rsidRPr="00204B21" w:rsidRDefault="00954D77" w:rsidP="00954D77">
      <w:pPr>
        <w:jc w:val="both"/>
        <w:rPr>
          <w:noProof/>
        </w:rPr>
      </w:pPr>
    </w:p>
    <w:p w14:paraId="0CFABA21" w14:textId="77777777" w:rsidR="00121F40" w:rsidRPr="00954D77" w:rsidRDefault="00121F40" w:rsidP="00954D77"/>
    <w:sectPr w:rsidR="00121F40" w:rsidRPr="00954D77">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C1388" w14:textId="77777777" w:rsidR="00DC77A8" w:rsidRDefault="00DC77A8" w:rsidP="001504E6">
      <w:pPr>
        <w:spacing w:after="0" w:line="240" w:lineRule="auto"/>
      </w:pPr>
      <w:r>
        <w:separator/>
      </w:r>
    </w:p>
  </w:endnote>
  <w:endnote w:type="continuationSeparator" w:id="0">
    <w:p w14:paraId="182CAD1D" w14:textId="77777777" w:rsidR="00DC77A8" w:rsidRDefault="00DC77A8" w:rsidP="001504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1648" w14:textId="2BF9C04C" w:rsidR="001504E6" w:rsidRPr="001504E6" w:rsidRDefault="00D40BAB" w:rsidP="001504E6">
    <w:pPr>
      <w:pStyle w:val="Pieddepage"/>
      <w:tabs>
        <w:tab w:val="clear" w:pos="4536"/>
        <w:tab w:val="clear" w:pos="9072"/>
        <w:tab w:val="left" w:pos="4062"/>
      </w:tabs>
      <w:jc w:val="center"/>
    </w:pPr>
    <w:r>
      <w:rPr>
        <w:noProof/>
        <w:lang w:eastAsia="fr-BE"/>
      </w:rPr>
      <w:drawing>
        <wp:inline distT="0" distB="0" distL="0" distR="0" wp14:anchorId="0FE6D883" wp14:editId="0EFD5BE8">
          <wp:extent cx="1162050" cy="372359"/>
          <wp:effectExtent l="0" t="0" r="0" b="889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262934" cy="404686"/>
                  </a:xfrm>
                  <a:prstGeom prst="rect">
                    <a:avLst/>
                  </a:prstGeom>
                </pic:spPr>
              </pic:pic>
            </a:graphicData>
          </a:graphic>
        </wp:inline>
      </w:drawing>
    </w:r>
    <w:r>
      <w:rPr>
        <w:noProof/>
        <w:lang w:eastAsia="fr-BE"/>
      </w:rPr>
      <w:t xml:space="preserve">    </w:t>
    </w:r>
    <w:r>
      <w:rPr>
        <w:noProof/>
        <w:lang w:eastAsia="fr-BE"/>
      </w:rPr>
      <w:drawing>
        <wp:inline distT="0" distB="0" distL="0" distR="0" wp14:anchorId="4E5FE86F" wp14:editId="68A6B554">
          <wp:extent cx="1123430" cy="283210"/>
          <wp:effectExtent l="0" t="0" r="635" b="254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141684" cy="287812"/>
                  </a:xfrm>
                  <a:prstGeom prst="rect">
                    <a:avLst/>
                  </a:prstGeom>
                </pic:spPr>
              </pic:pic>
            </a:graphicData>
          </a:graphic>
        </wp:inline>
      </w:drawing>
    </w:r>
    <w:r w:rsidR="001504E6">
      <w:t xml:space="preserve">  </w:t>
    </w:r>
    <w:r>
      <w:t xml:space="preserve">   </w:t>
    </w:r>
    <w:r w:rsidR="001504E6">
      <w:t xml:space="preserve">   </w:t>
    </w:r>
    <w:r w:rsidR="001504E6">
      <w:rPr>
        <w:noProof/>
        <w:lang w:eastAsia="fr-BE"/>
      </w:rPr>
      <w:drawing>
        <wp:inline distT="0" distB="0" distL="0" distR="0" wp14:anchorId="32BA4F9A" wp14:editId="308C84C3">
          <wp:extent cx="508000" cy="470747"/>
          <wp:effectExtent l="0" t="0" r="635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C_150ppp.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16801" cy="478903"/>
                  </a:xfrm>
                  <a:prstGeom prst="rect">
                    <a:avLst/>
                  </a:prstGeom>
                </pic:spPr>
              </pic:pic>
            </a:graphicData>
          </a:graphic>
        </wp:inline>
      </w:drawing>
    </w:r>
    <w:r w:rsidR="001504E6">
      <w:t xml:space="preserve"> </w:t>
    </w:r>
    <w:r>
      <w:t xml:space="preserve">   </w:t>
    </w:r>
    <w:r w:rsidR="001504E6">
      <w:t xml:space="preserve">    </w:t>
    </w:r>
    <w:r w:rsidR="001504E6">
      <w:rPr>
        <w:noProof/>
        <w:lang w:eastAsia="fr-BE"/>
      </w:rPr>
      <w:drawing>
        <wp:inline distT="0" distB="0" distL="0" distR="0" wp14:anchorId="19CE0110" wp14:editId="0F0B7C96">
          <wp:extent cx="798830" cy="29210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Addica.jpg"/>
                  <pic:cNvPicPr/>
                </pic:nvPicPr>
                <pic:blipFill>
                  <a:blip r:embed="rId4">
                    <a:extLst>
                      <a:ext uri="{28A0092B-C50C-407E-A947-70E740481C1C}">
                        <a14:useLocalDpi xmlns:a14="http://schemas.microsoft.com/office/drawing/2010/main" val="0"/>
                      </a:ext>
                    </a:extLst>
                  </a:blip>
                  <a:stretch>
                    <a:fillRect/>
                  </a:stretch>
                </pic:blipFill>
                <pic:spPr>
                  <a:xfrm>
                    <a:off x="0" y="0"/>
                    <a:ext cx="862913" cy="315533"/>
                  </a:xfrm>
                  <a:prstGeom prst="rect">
                    <a:avLst/>
                  </a:prstGeom>
                </pic:spPr>
              </pic:pic>
            </a:graphicData>
          </a:graphic>
        </wp:inline>
      </w:drawing>
    </w:r>
    <w:r w:rsidR="001504E6">
      <w:t xml:space="preserve">    </w:t>
    </w:r>
    <w:r>
      <w:t xml:space="preserve">  </w:t>
    </w:r>
    <w:r w:rsidR="001504E6">
      <w:t xml:space="preserve">           </w:t>
    </w:r>
    <w:r>
      <w:rPr>
        <w:noProof/>
        <w:lang w:eastAsia="fr-BE"/>
      </w:rPr>
      <w:drawing>
        <wp:inline distT="0" distB="0" distL="0" distR="0" wp14:anchorId="3D7A6815" wp14:editId="1BF7C812">
          <wp:extent cx="440026" cy="463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P CMJN 674 x 710.jpg"/>
                  <pic:cNvPicPr/>
                </pic:nvPicPr>
                <pic:blipFill>
                  <a:blip r:embed="rId5">
                    <a:extLst>
                      <a:ext uri="{28A0092B-C50C-407E-A947-70E740481C1C}">
                        <a14:useLocalDpi xmlns:a14="http://schemas.microsoft.com/office/drawing/2010/main" val="0"/>
                      </a:ext>
                    </a:extLst>
                  </a:blip>
                  <a:stretch>
                    <a:fillRect/>
                  </a:stretch>
                </pic:blipFill>
                <pic:spPr>
                  <a:xfrm>
                    <a:off x="0" y="0"/>
                    <a:ext cx="454256" cy="478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FF04F" w14:textId="77777777" w:rsidR="00DC77A8" w:rsidRDefault="00DC77A8" w:rsidP="001504E6">
      <w:pPr>
        <w:spacing w:after="0" w:line="240" w:lineRule="auto"/>
      </w:pPr>
      <w:r>
        <w:separator/>
      </w:r>
    </w:p>
  </w:footnote>
  <w:footnote w:type="continuationSeparator" w:id="0">
    <w:p w14:paraId="092170E1" w14:textId="77777777" w:rsidR="00DC77A8" w:rsidRDefault="00DC77A8" w:rsidP="001504E6">
      <w:pPr>
        <w:spacing w:after="0" w:line="240" w:lineRule="auto"/>
      </w:pPr>
      <w:r>
        <w:continuationSeparator/>
      </w:r>
    </w:p>
  </w:footnote>
  <w:footnote w:id="1">
    <w:p w14:paraId="53F98AAA" w14:textId="77777777" w:rsidR="00954D77" w:rsidRPr="00903272" w:rsidRDefault="00954D77" w:rsidP="00954D77">
      <w:pPr>
        <w:pStyle w:val="Notedebasdepage"/>
        <w:rPr>
          <w:lang w:val="en-US"/>
        </w:rPr>
      </w:pPr>
      <w:r>
        <w:rPr>
          <w:rStyle w:val="Appelnotedebasdep"/>
        </w:rPr>
        <w:footnoteRef/>
      </w:r>
      <w:r w:rsidRPr="004F7675">
        <w:rPr>
          <w:lang w:val="en-US"/>
        </w:rPr>
        <w:t xml:space="preserve"> </w:t>
      </w:r>
      <w:r w:rsidRPr="00F76995">
        <w:rPr>
          <w:lang w:val="en-US"/>
        </w:rPr>
        <w:t xml:space="preserve">Source </w:t>
      </w:r>
      <w:proofErr w:type="spellStart"/>
      <w:r w:rsidRPr="00F76995">
        <w:rPr>
          <w:lang w:val="en-US"/>
        </w:rPr>
        <w:t>complète</w:t>
      </w:r>
      <w:proofErr w:type="spellEnd"/>
      <w:r w:rsidRPr="00F76995">
        <w:rPr>
          <w:lang w:val="en-US"/>
        </w:rPr>
        <w:t xml:space="preserve">: World Health Organization. </w:t>
      </w:r>
      <w:r w:rsidRPr="00903272">
        <w:rPr>
          <w:lang w:val="en-US"/>
        </w:rPr>
        <w:t>(2018). Global status report on alcohol and health 2018</w:t>
      </w:r>
    </w:p>
  </w:footnote>
  <w:footnote w:id="2">
    <w:p w14:paraId="20F3BD07" w14:textId="77777777" w:rsidR="00640CAC" w:rsidRPr="005A544C" w:rsidRDefault="00640CAC" w:rsidP="00640CAC">
      <w:pPr>
        <w:pStyle w:val="Notedebasdepage"/>
      </w:pPr>
      <w:r w:rsidRPr="005A544C">
        <w:rPr>
          <w:rStyle w:val="Appelnotedebasdep"/>
        </w:rPr>
        <w:footnoteRef/>
      </w:r>
      <w:r w:rsidRPr="005A544C">
        <w:t xml:space="preserve"> Chiffres arrondis, source originale : IHME (2018), Global </w:t>
      </w:r>
      <w:proofErr w:type="spellStart"/>
      <w:r w:rsidRPr="005A544C">
        <w:t>Health</w:t>
      </w:r>
      <w:proofErr w:type="spellEnd"/>
      <w:r w:rsidRPr="005A544C">
        <w:t xml:space="preserve"> Data Exchange</w:t>
      </w:r>
    </w:p>
  </w:footnote>
  <w:footnote w:id="3">
    <w:p w14:paraId="53EFB6C0" w14:textId="77777777" w:rsidR="005A3CCC" w:rsidRPr="005A3CCC" w:rsidRDefault="005A3CCC" w:rsidP="005A3CCC">
      <w:pPr>
        <w:pStyle w:val="Notedebasdepage"/>
      </w:pPr>
      <w:r>
        <w:rPr>
          <w:rStyle w:val="Appelnotedebasdep"/>
        </w:rPr>
        <w:footnoteRef/>
      </w:r>
      <w:r w:rsidRPr="00EB5351">
        <w:rPr>
          <w:lang w:val="en-US"/>
        </w:rPr>
        <w:t xml:space="preserve"> L. Gisle. S. Demarest. S Drieskens . </w:t>
      </w:r>
      <w:r w:rsidRPr="005A3CCC">
        <w:t>Enquête de santé 2018 : Consommation d'alcool. Bruxelles, Belgique :</w:t>
      </w:r>
    </w:p>
    <w:p w14:paraId="5073D230" w14:textId="2E42D2B8" w:rsidR="005A3CCC" w:rsidRDefault="005A3CCC" w:rsidP="005A3CCC">
      <w:pPr>
        <w:pStyle w:val="Notedebasdepage"/>
      </w:pPr>
      <w:r w:rsidRPr="005A3CCC">
        <w:t>Sciensano ; Numéro de rapport : D/2019/14.440/65. Disponible en ligne : www.enquetesante.be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4531"/>
    </w:tblGrid>
    <w:tr w:rsidR="007014D8" w14:paraId="0527DAF3" w14:textId="77777777" w:rsidTr="007014D8">
      <w:tc>
        <w:tcPr>
          <w:tcW w:w="4531" w:type="dxa"/>
        </w:tcPr>
        <w:p w14:paraId="678F3EAB" w14:textId="383C99B9" w:rsidR="007014D8" w:rsidRDefault="007014D8" w:rsidP="00121F40">
          <w:pPr>
            <w:pStyle w:val="En-tte"/>
          </w:pPr>
          <w:r>
            <w:rPr>
              <w:noProof/>
            </w:rPr>
            <w:drawing>
              <wp:inline distT="0" distB="0" distL="0" distR="0" wp14:anchorId="07E21611" wp14:editId="07754513">
                <wp:extent cx="1414800" cy="77400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800" cy="774000"/>
                        </a:xfrm>
                        <a:prstGeom prst="rect">
                          <a:avLst/>
                        </a:prstGeom>
                        <a:noFill/>
                      </pic:spPr>
                    </pic:pic>
                  </a:graphicData>
                </a:graphic>
              </wp:inline>
            </w:drawing>
          </w:r>
        </w:p>
      </w:tc>
      <w:tc>
        <w:tcPr>
          <w:tcW w:w="4531" w:type="dxa"/>
        </w:tcPr>
        <w:p w14:paraId="7D641FE0" w14:textId="66637ABF" w:rsidR="007014D8" w:rsidRDefault="007014D8" w:rsidP="00121F40">
          <w:pPr>
            <w:pStyle w:val="En-tte"/>
            <w:jc w:val="right"/>
          </w:pPr>
        </w:p>
      </w:tc>
    </w:tr>
  </w:tbl>
  <w:p w14:paraId="3B17C8EC" w14:textId="3B12D651" w:rsidR="009A698B" w:rsidRDefault="009A698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75F82"/>
    <w:multiLevelType w:val="hybridMultilevel"/>
    <w:tmpl w:val="90BE5DA4"/>
    <w:lvl w:ilvl="0" w:tplc="91BA035C">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77530FC1"/>
    <w:multiLevelType w:val="hybridMultilevel"/>
    <w:tmpl w:val="71F42FBA"/>
    <w:lvl w:ilvl="0" w:tplc="5DF84E26">
      <w:start w:val="1"/>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4E6"/>
    <w:rsid w:val="000012EA"/>
    <w:rsid w:val="00001A46"/>
    <w:rsid w:val="0001036B"/>
    <w:rsid w:val="000301D3"/>
    <w:rsid w:val="000664C7"/>
    <w:rsid w:val="00082893"/>
    <w:rsid w:val="000A1ABF"/>
    <w:rsid w:val="000B1E48"/>
    <w:rsid w:val="000E0BA6"/>
    <w:rsid w:val="001007AC"/>
    <w:rsid w:val="001060D3"/>
    <w:rsid w:val="00121F40"/>
    <w:rsid w:val="001261B4"/>
    <w:rsid w:val="001504E6"/>
    <w:rsid w:val="00161AC8"/>
    <w:rsid w:val="00162891"/>
    <w:rsid w:val="001A4C3A"/>
    <w:rsid w:val="001F4552"/>
    <w:rsid w:val="00206B39"/>
    <w:rsid w:val="002110E0"/>
    <w:rsid w:val="002730A0"/>
    <w:rsid w:val="00277591"/>
    <w:rsid w:val="00284380"/>
    <w:rsid w:val="002C1AE8"/>
    <w:rsid w:val="002C6ADD"/>
    <w:rsid w:val="002D0DB3"/>
    <w:rsid w:val="002D682B"/>
    <w:rsid w:val="002E31CF"/>
    <w:rsid w:val="002E49D9"/>
    <w:rsid w:val="0034549D"/>
    <w:rsid w:val="00392594"/>
    <w:rsid w:val="00396FCD"/>
    <w:rsid w:val="003A0392"/>
    <w:rsid w:val="003B6CA4"/>
    <w:rsid w:val="003D26B9"/>
    <w:rsid w:val="003E1AD6"/>
    <w:rsid w:val="003E1EEB"/>
    <w:rsid w:val="004251C9"/>
    <w:rsid w:val="00431632"/>
    <w:rsid w:val="00444B43"/>
    <w:rsid w:val="00452BE0"/>
    <w:rsid w:val="00460DD7"/>
    <w:rsid w:val="004739BF"/>
    <w:rsid w:val="004D4908"/>
    <w:rsid w:val="004E5201"/>
    <w:rsid w:val="004E7EC0"/>
    <w:rsid w:val="00502C88"/>
    <w:rsid w:val="00503E16"/>
    <w:rsid w:val="0052350E"/>
    <w:rsid w:val="00537F60"/>
    <w:rsid w:val="005713D3"/>
    <w:rsid w:val="00587708"/>
    <w:rsid w:val="005A3CCC"/>
    <w:rsid w:val="005E319C"/>
    <w:rsid w:val="00606330"/>
    <w:rsid w:val="00640CAC"/>
    <w:rsid w:val="0064566A"/>
    <w:rsid w:val="006553CD"/>
    <w:rsid w:val="00670A9F"/>
    <w:rsid w:val="006F5B0B"/>
    <w:rsid w:val="006F6BCC"/>
    <w:rsid w:val="007014D8"/>
    <w:rsid w:val="00704474"/>
    <w:rsid w:val="007137DA"/>
    <w:rsid w:val="007310EA"/>
    <w:rsid w:val="00733C32"/>
    <w:rsid w:val="007561DD"/>
    <w:rsid w:val="007A2766"/>
    <w:rsid w:val="007D0EC2"/>
    <w:rsid w:val="007D41A7"/>
    <w:rsid w:val="00803B90"/>
    <w:rsid w:val="00812B55"/>
    <w:rsid w:val="00817335"/>
    <w:rsid w:val="00825703"/>
    <w:rsid w:val="00840B81"/>
    <w:rsid w:val="0089546F"/>
    <w:rsid w:val="008A12A8"/>
    <w:rsid w:val="008A4983"/>
    <w:rsid w:val="008F30D8"/>
    <w:rsid w:val="008F331A"/>
    <w:rsid w:val="00910207"/>
    <w:rsid w:val="009102F0"/>
    <w:rsid w:val="00934CE0"/>
    <w:rsid w:val="00954D77"/>
    <w:rsid w:val="0097112B"/>
    <w:rsid w:val="00981906"/>
    <w:rsid w:val="00991B35"/>
    <w:rsid w:val="009A698B"/>
    <w:rsid w:val="009D38D1"/>
    <w:rsid w:val="009E16A3"/>
    <w:rsid w:val="00A024AC"/>
    <w:rsid w:val="00A0546B"/>
    <w:rsid w:val="00A201B4"/>
    <w:rsid w:val="00A3722A"/>
    <w:rsid w:val="00A64F46"/>
    <w:rsid w:val="00A84B57"/>
    <w:rsid w:val="00AF60D3"/>
    <w:rsid w:val="00B5380F"/>
    <w:rsid w:val="00B56951"/>
    <w:rsid w:val="00C1008D"/>
    <w:rsid w:val="00C154A5"/>
    <w:rsid w:val="00C21228"/>
    <w:rsid w:val="00C64D3F"/>
    <w:rsid w:val="00C704E2"/>
    <w:rsid w:val="00C84497"/>
    <w:rsid w:val="00CA0B51"/>
    <w:rsid w:val="00D061F2"/>
    <w:rsid w:val="00D32F34"/>
    <w:rsid w:val="00D40BAB"/>
    <w:rsid w:val="00D45C72"/>
    <w:rsid w:val="00D71547"/>
    <w:rsid w:val="00D76D6E"/>
    <w:rsid w:val="00D87E1B"/>
    <w:rsid w:val="00D92BE9"/>
    <w:rsid w:val="00DC06CB"/>
    <w:rsid w:val="00DC2E56"/>
    <w:rsid w:val="00DC77A8"/>
    <w:rsid w:val="00E2655B"/>
    <w:rsid w:val="00E45E4C"/>
    <w:rsid w:val="00E466EE"/>
    <w:rsid w:val="00E53EA3"/>
    <w:rsid w:val="00E735E2"/>
    <w:rsid w:val="00E75D5B"/>
    <w:rsid w:val="00E803D9"/>
    <w:rsid w:val="00E827DC"/>
    <w:rsid w:val="00EB1501"/>
    <w:rsid w:val="00EB17F8"/>
    <w:rsid w:val="00EB5351"/>
    <w:rsid w:val="00EE1FA2"/>
    <w:rsid w:val="00EE29CB"/>
    <w:rsid w:val="00F02555"/>
    <w:rsid w:val="00F069A8"/>
    <w:rsid w:val="00F23850"/>
    <w:rsid w:val="00F308EF"/>
    <w:rsid w:val="00F37781"/>
    <w:rsid w:val="00F41624"/>
    <w:rsid w:val="00F45E27"/>
    <w:rsid w:val="00F5283B"/>
    <w:rsid w:val="00F56DDC"/>
    <w:rsid w:val="00F80D29"/>
    <w:rsid w:val="00F9361E"/>
    <w:rsid w:val="00FB6CA9"/>
    <w:rsid w:val="00FD3AD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3FFFC"/>
  <w15:chartTrackingRefBased/>
  <w15:docId w15:val="{84B2DC0A-28EB-4BC1-8CCC-5DFBE6272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D77"/>
  </w:style>
  <w:style w:type="paragraph" w:styleId="Titre4">
    <w:name w:val="heading 4"/>
    <w:basedOn w:val="Normal"/>
    <w:next w:val="Normal"/>
    <w:link w:val="Titre4Car"/>
    <w:uiPriority w:val="9"/>
    <w:semiHidden/>
    <w:unhideWhenUsed/>
    <w:qFormat/>
    <w:rsid w:val="00F5283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504E6"/>
    <w:pPr>
      <w:tabs>
        <w:tab w:val="center" w:pos="4536"/>
        <w:tab w:val="right" w:pos="9072"/>
      </w:tabs>
      <w:spacing w:after="0" w:line="240" w:lineRule="auto"/>
    </w:pPr>
  </w:style>
  <w:style w:type="character" w:customStyle="1" w:styleId="En-tteCar">
    <w:name w:val="En-tête Car"/>
    <w:basedOn w:val="Policepardfaut"/>
    <w:link w:val="En-tte"/>
    <w:uiPriority w:val="99"/>
    <w:rsid w:val="001504E6"/>
  </w:style>
  <w:style w:type="paragraph" w:styleId="Pieddepage">
    <w:name w:val="footer"/>
    <w:basedOn w:val="Normal"/>
    <w:link w:val="PieddepageCar"/>
    <w:uiPriority w:val="99"/>
    <w:unhideWhenUsed/>
    <w:rsid w:val="001504E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504E6"/>
  </w:style>
  <w:style w:type="paragraph" w:styleId="Textedebulles">
    <w:name w:val="Balloon Text"/>
    <w:basedOn w:val="Normal"/>
    <w:link w:val="TextedebullesCar"/>
    <w:uiPriority w:val="99"/>
    <w:semiHidden/>
    <w:unhideWhenUsed/>
    <w:rsid w:val="001504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04E6"/>
    <w:rPr>
      <w:rFonts w:ascii="Segoe UI" w:hAnsi="Segoe UI" w:cs="Segoe UI"/>
      <w:sz w:val="18"/>
      <w:szCs w:val="18"/>
    </w:rPr>
  </w:style>
  <w:style w:type="character" w:styleId="Lienhypertexte">
    <w:name w:val="Hyperlink"/>
    <w:basedOn w:val="Policepardfaut"/>
    <w:uiPriority w:val="99"/>
    <w:unhideWhenUsed/>
    <w:rsid w:val="007D0EC2"/>
    <w:rPr>
      <w:color w:val="0563C1"/>
      <w:u w:val="single"/>
    </w:rPr>
  </w:style>
  <w:style w:type="character" w:customStyle="1" w:styleId="Mentionnonrsolue1">
    <w:name w:val="Mention non résolue1"/>
    <w:basedOn w:val="Policepardfaut"/>
    <w:uiPriority w:val="99"/>
    <w:semiHidden/>
    <w:unhideWhenUsed/>
    <w:rsid w:val="009E16A3"/>
    <w:rPr>
      <w:color w:val="605E5C"/>
      <w:shd w:val="clear" w:color="auto" w:fill="E1DFDD"/>
    </w:rPr>
  </w:style>
  <w:style w:type="character" w:styleId="Mentionnonrsolue">
    <w:name w:val="Unresolved Mention"/>
    <w:basedOn w:val="Policepardfaut"/>
    <w:uiPriority w:val="99"/>
    <w:semiHidden/>
    <w:unhideWhenUsed/>
    <w:rsid w:val="000B1E48"/>
    <w:rPr>
      <w:color w:val="605E5C"/>
      <w:shd w:val="clear" w:color="auto" w:fill="E1DFDD"/>
    </w:rPr>
  </w:style>
  <w:style w:type="paragraph" w:styleId="Paragraphedeliste">
    <w:name w:val="List Paragraph"/>
    <w:basedOn w:val="Normal"/>
    <w:uiPriority w:val="34"/>
    <w:qFormat/>
    <w:rsid w:val="00E827DC"/>
    <w:pPr>
      <w:ind w:left="720"/>
      <w:contextualSpacing/>
    </w:pPr>
  </w:style>
  <w:style w:type="table" w:styleId="Grilledutableau">
    <w:name w:val="Table Grid"/>
    <w:basedOn w:val="TableauNormal"/>
    <w:uiPriority w:val="39"/>
    <w:rsid w:val="00D45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954D77"/>
    <w:pPr>
      <w:spacing w:after="0" w:line="240" w:lineRule="auto"/>
    </w:pPr>
  </w:style>
  <w:style w:type="paragraph" w:styleId="Notedebasdepage">
    <w:name w:val="footnote text"/>
    <w:basedOn w:val="Normal"/>
    <w:link w:val="NotedebasdepageCar"/>
    <w:uiPriority w:val="99"/>
    <w:semiHidden/>
    <w:unhideWhenUsed/>
    <w:rsid w:val="00954D7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54D77"/>
    <w:rPr>
      <w:sz w:val="20"/>
      <w:szCs w:val="20"/>
    </w:rPr>
  </w:style>
  <w:style w:type="character" w:styleId="Appelnotedebasdep">
    <w:name w:val="footnote reference"/>
    <w:basedOn w:val="Policepardfaut"/>
    <w:uiPriority w:val="99"/>
    <w:semiHidden/>
    <w:unhideWhenUsed/>
    <w:rsid w:val="00954D77"/>
    <w:rPr>
      <w:vertAlign w:val="superscript"/>
    </w:rPr>
  </w:style>
  <w:style w:type="character" w:customStyle="1" w:styleId="Titre4Car">
    <w:name w:val="Titre 4 Car"/>
    <w:basedOn w:val="Policepardfaut"/>
    <w:link w:val="Titre4"/>
    <w:uiPriority w:val="9"/>
    <w:semiHidden/>
    <w:rsid w:val="00F5283B"/>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44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5" Type="http://schemas.openxmlformats.org/officeDocument/2006/relationships/image" Target="media/image9.jp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7ED1C-44E5-4650-A936-DE1E7CD12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853</Words>
  <Characters>4696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Lefebvre Emmanuel</dc:creator>
  <cp:keywords/>
  <dc:description/>
  <cp:lastModifiedBy>Mady Leurquin</cp:lastModifiedBy>
  <cp:revision>2</cp:revision>
  <cp:lastPrinted>2021-04-12T09:47:00Z</cp:lastPrinted>
  <dcterms:created xsi:type="dcterms:W3CDTF">2022-02-17T15:21:00Z</dcterms:created>
  <dcterms:modified xsi:type="dcterms:W3CDTF">2022-02-17T15:21:00Z</dcterms:modified>
</cp:coreProperties>
</file>